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8E55">
      <w:pPr>
        <w:spacing w:before="174" w:beforeLines="50" w:after="174" w:afterLines="50"/>
        <w:jc w:val="center"/>
        <w:rPr>
          <w:rFonts w:hint="eastAsia" w:ascii="黑体" w:hAnsi="黑体" w:eastAsia="黑体" w:cs="黑体"/>
          <w:b/>
          <w:bCs/>
          <w:lang w:val="fr-FR"/>
        </w:rPr>
      </w:pPr>
      <w:r>
        <w:rPr>
          <w:rFonts w:hint="default" w:ascii="Times New Roman" w:hAnsi="Times New Roman" w:eastAsia="宋体" w:cs="Times New Roman"/>
          <w:b/>
          <w:bCs/>
          <w:sz w:val="28"/>
        </w:rPr>
        <w:t>偏离方案报告</w:t>
      </w:r>
      <w:bookmarkStart w:id="2" w:name="_GoBack"/>
      <w:bookmarkEnd w:id="2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86"/>
      </w:tblGrid>
      <w:tr w14:paraId="12A1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09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90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36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9E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AA1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E8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7D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01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165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87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F5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C31744F">
      <w:pPr>
        <w:pStyle w:val="5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16DAEDB5">
      <w:pPr>
        <w:pStyle w:val="5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一、偏离方案的类别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64"/>
      </w:tblGrid>
      <w:tr w14:paraId="6A94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CE7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1527906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037A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为消除对受试者的紧急危害，</w:t>
            </w:r>
            <w:bookmarkStart w:id="1" w:name="_Hlk6141710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在伦理委员会同意前，研究者</w:t>
            </w:r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偏离方案</w:t>
            </w:r>
          </w:p>
        </w:tc>
      </w:tr>
      <w:bookmarkEnd w:id="0"/>
    </w:tbl>
    <w:p w14:paraId="19247059">
      <w:pPr>
        <w:pStyle w:val="5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64"/>
      </w:tblGrid>
      <w:tr w14:paraId="3F3B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181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7D4A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研究纳入了不符合纳入标准或符合排除标准的受试者</w:t>
            </w:r>
          </w:p>
        </w:tc>
      </w:tr>
      <w:tr w14:paraId="1732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24F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523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符合终止试验规定而未让受试者退出研究</w:t>
            </w:r>
          </w:p>
        </w:tc>
      </w:tr>
      <w:tr w14:paraId="7631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C79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5709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给予错误的治疗或剂量</w:t>
            </w:r>
          </w:p>
        </w:tc>
      </w:tr>
      <w:tr w14:paraId="2228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E0E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3A2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给予方案禁止的合并用药</w:t>
            </w:r>
          </w:p>
        </w:tc>
      </w:tr>
      <w:tr w14:paraId="5485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E94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09A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可能对受试者的权益和安全造成显著影响的情况</w:t>
            </w:r>
          </w:p>
        </w:tc>
      </w:tr>
      <w:tr w14:paraId="1239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BA7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E5BF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可能对研究的科学性造成显著影响的情况</w:t>
            </w:r>
          </w:p>
        </w:tc>
      </w:tr>
      <w:tr w14:paraId="6E2A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982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D841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同一研究人员的同一偏离方案行为在被要求纠正后，再次发生</w:t>
            </w:r>
          </w:p>
        </w:tc>
      </w:tr>
      <w:tr w14:paraId="0D75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32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1B7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研究人员不配合监查/稽查</w:t>
            </w:r>
          </w:p>
        </w:tc>
      </w:tr>
      <w:tr w14:paraId="408C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645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72D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研究人员对偏离方案事件不予以纠正</w:t>
            </w:r>
          </w:p>
        </w:tc>
      </w:tr>
      <w:tr w14:paraId="2307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21E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2F7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其他：</w:t>
            </w:r>
          </w:p>
        </w:tc>
      </w:tr>
    </w:tbl>
    <w:p w14:paraId="2E22B51E">
      <w:pPr>
        <w:pStyle w:val="5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0D5CBFEE">
      <w:pPr>
        <w:pStyle w:val="5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二、偏离方案事件的描述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56E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35A3CC0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117A7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4D4ABAF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412CAA6D"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三、对偏离方案采取的纠正措施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25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39C3C1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381E9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AE868B5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55B1D805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86"/>
      </w:tblGrid>
      <w:tr w14:paraId="07C7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43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3B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D4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9D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AA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年    月    日</w:t>
            </w:r>
          </w:p>
        </w:tc>
      </w:tr>
    </w:tbl>
    <w:p w14:paraId="130667CE">
      <w:pPr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4156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E80039"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79F25">
    <w:pPr>
      <w:pStyle w:val="8"/>
      <w:jc w:val="left"/>
      <w:rPr>
        <w:rFonts w:hint="default" w:eastAsia="宋体"/>
        <w:sz w:val="18"/>
        <w:szCs w:val="18"/>
        <w:lang w:val="en-US" w:eastAsia="zh-CN"/>
      </w:rPr>
    </w:pPr>
    <w:r>
      <w:rPr>
        <w:rFonts w:hint="default" w:ascii="Times New Roman" w:hAnsi="Times New Roman" w:eastAsia="宋体" w:cs="Times New Roman"/>
        <w:color w:val="auto"/>
        <w:lang w:eastAsia="zh-CN"/>
      </w:rPr>
      <w:t>沧州市人民</w:t>
    </w:r>
    <w:r>
      <w:rPr>
        <w:rFonts w:hint="default" w:ascii="Times New Roman" w:hAnsi="Times New Roman" w:eastAsia="宋体" w:cs="Times New Roman"/>
        <w:color w:val="auto"/>
      </w:rPr>
      <w:t>医院</w:t>
    </w:r>
    <w:r>
      <w:rPr>
        <w:rFonts w:hint="eastAsia" w:cs="Times New Roman"/>
        <w:color w:val="auto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color w:val="auto"/>
      </w:rPr>
      <w:t>伦理委员会</w:t>
    </w:r>
    <w:r>
      <w:rPr>
        <w:rFonts w:hint="eastAsia" w:cs="Times New Roman"/>
        <w:color w:val="auto"/>
        <w:lang w:val="en-US" w:eastAsia="zh-CN"/>
      </w:rPr>
      <w:t xml:space="preserve">   </w:t>
    </w:r>
    <w:r>
      <w:rPr>
        <w:rFonts w:hint="default" w:ascii="Times New Roman" w:hAnsi="Times New Roman" w:eastAsia="宋体" w:cs="Times New Roman"/>
        <w:color w:val="auto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color w:val="FF0000"/>
        <w:lang w:val="en-US" w:eastAsia="zh-CN"/>
      </w:rPr>
      <w:t xml:space="preserve">                          </w:t>
    </w:r>
    <w:r>
      <w:rPr>
        <w:rFonts w:hint="default" w:ascii="Times New Roman" w:hAnsi="Times New Roman" w:eastAsia="宋体" w:cs="Times New Roman"/>
        <w:sz w:val="18"/>
        <w:szCs w:val="18"/>
      </w:rPr>
      <w:t>文件编号：AF/SS-06/</w:t>
    </w:r>
    <w:r>
      <w:rPr>
        <w:rFonts w:hint="eastAsia" w:cs="Times New Roman"/>
        <w:sz w:val="18"/>
        <w:szCs w:val="18"/>
        <w:lang w:eastAsia="zh-CN"/>
      </w:rPr>
      <w:t>0</w:t>
    </w:r>
    <w:r>
      <w:rPr>
        <w:rFonts w:hint="eastAsia" w:cs="Times New Roman"/>
        <w:sz w:val="18"/>
        <w:szCs w:val="18"/>
        <w:lang w:val="en-US" w:eastAsia="zh-CN"/>
      </w:rPr>
      <w:t>6.0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EC2F16"/>
    <w:rsid w:val="000A2E4B"/>
    <w:rsid w:val="00102D67"/>
    <w:rsid w:val="00184543"/>
    <w:rsid w:val="001C1E95"/>
    <w:rsid w:val="001C7AE5"/>
    <w:rsid w:val="001E549B"/>
    <w:rsid w:val="002502CF"/>
    <w:rsid w:val="00250DE8"/>
    <w:rsid w:val="002615B5"/>
    <w:rsid w:val="0035740B"/>
    <w:rsid w:val="003652D5"/>
    <w:rsid w:val="003A0BEB"/>
    <w:rsid w:val="004E0BCF"/>
    <w:rsid w:val="004E326E"/>
    <w:rsid w:val="005536E1"/>
    <w:rsid w:val="00591517"/>
    <w:rsid w:val="005C6D56"/>
    <w:rsid w:val="005E2A7E"/>
    <w:rsid w:val="00603623"/>
    <w:rsid w:val="00686201"/>
    <w:rsid w:val="006A5074"/>
    <w:rsid w:val="006A5C6D"/>
    <w:rsid w:val="006F4A10"/>
    <w:rsid w:val="00741022"/>
    <w:rsid w:val="007B0F0A"/>
    <w:rsid w:val="007D77AE"/>
    <w:rsid w:val="008508AE"/>
    <w:rsid w:val="009233FD"/>
    <w:rsid w:val="009D70CA"/>
    <w:rsid w:val="00A42FC8"/>
    <w:rsid w:val="00B0041E"/>
    <w:rsid w:val="00B211B8"/>
    <w:rsid w:val="00B23010"/>
    <w:rsid w:val="00B30D08"/>
    <w:rsid w:val="00C6689F"/>
    <w:rsid w:val="00CB4F9B"/>
    <w:rsid w:val="00CF7EC6"/>
    <w:rsid w:val="00D45425"/>
    <w:rsid w:val="00DC0FFB"/>
    <w:rsid w:val="00DD18CB"/>
    <w:rsid w:val="00E00056"/>
    <w:rsid w:val="00E03229"/>
    <w:rsid w:val="00E45A4C"/>
    <w:rsid w:val="00E6728B"/>
    <w:rsid w:val="00EC2F16"/>
    <w:rsid w:val="00FB1F33"/>
    <w:rsid w:val="00FC4D83"/>
    <w:rsid w:val="00FD327B"/>
    <w:rsid w:val="00FE2500"/>
    <w:rsid w:val="00FF6B9C"/>
    <w:rsid w:val="071F2612"/>
    <w:rsid w:val="07C55BB8"/>
    <w:rsid w:val="09B23C11"/>
    <w:rsid w:val="0B422C1A"/>
    <w:rsid w:val="0D1A3FA7"/>
    <w:rsid w:val="1B097409"/>
    <w:rsid w:val="209918BD"/>
    <w:rsid w:val="249266C1"/>
    <w:rsid w:val="250E2A23"/>
    <w:rsid w:val="25750C3D"/>
    <w:rsid w:val="2EA61615"/>
    <w:rsid w:val="308570DA"/>
    <w:rsid w:val="33D97E69"/>
    <w:rsid w:val="386947E2"/>
    <w:rsid w:val="3CEC4561"/>
    <w:rsid w:val="4BFA1DED"/>
    <w:rsid w:val="4DFA480C"/>
    <w:rsid w:val="4E816CDB"/>
    <w:rsid w:val="546A20B3"/>
    <w:rsid w:val="56FD66F7"/>
    <w:rsid w:val="57435475"/>
    <w:rsid w:val="58D455DD"/>
    <w:rsid w:val="59123351"/>
    <w:rsid w:val="5A517EA9"/>
    <w:rsid w:val="5EC21376"/>
    <w:rsid w:val="618741B1"/>
    <w:rsid w:val="61D90EB7"/>
    <w:rsid w:val="71194F6E"/>
    <w:rsid w:val="71641E18"/>
    <w:rsid w:val="7411389D"/>
    <w:rsid w:val="790164D1"/>
    <w:rsid w:val="7AEC5358"/>
    <w:rsid w:val="7B827A6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rFonts w:ascii="Arial" w:hAnsi="Arial" w:eastAsia="Times New Roman" w:cs="Angsana New"/>
      <w:b/>
      <w:bCs/>
      <w:kern w:val="0"/>
      <w:sz w:val="24"/>
      <w:u w:val="single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widowControl/>
      <w:ind w:left="720"/>
      <w:jc w:val="left"/>
      <w:outlineLvl w:val="1"/>
    </w:pPr>
    <w:rPr>
      <w:rFonts w:cs="Angsana New"/>
      <w:b/>
      <w:bCs/>
      <w:kern w:val="0"/>
      <w:sz w:val="28"/>
      <w:szCs w:val="28"/>
      <w:u w:val="single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link w:val="18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widowControl/>
      <w:spacing w:after="120" w:line="240" w:lineRule="exact"/>
      <w:jc w:val="left"/>
    </w:pPr>
    <w:rPr>
      <w:rFonts w:eastAsia="Times New Roman" w:cs="Angsana New"/>
      <w:b/>
      <w:bCs/>
      <w:kern w:val="0"/>
      <w:sz w:val="24"/>
      <w:lang w:eastAsia="en-US"/>
    </w:rPr>
  </w:style>
  <w:style w:type="paragraph" w:styleId="10">
    <w:name w:val="Title"/>
    <w:basedOn w:val="1"/>
    <w:qFormat/>
    <w:uiPriority w:val="0"/>
    <w:pPr>
      <w:widowControl/>
      <w:jc w:val="center"/>
    </w:pPr>
    <w:rPr>
      <w:rFonts w:cs="Angsana New"/>
      <w:b/>
      <w:bCs/>
      <w:kern w:val="0"/>
      <w:sz w:val="24"/>
      <w:lang w:eastAsia="en-US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目录 11"/>
    <w:basedOn w:val="1"/>
    <w:next w:val="1"/>
    <w:semiHidden/>
    <w:qFormat/>
    <w:uiPriority w:val="0"/>
    <w:rPr>
      <w:rFonts w:ascii="TimesNewRoman" w:hAnsi="TimesNewRoman" w:cs="Angsana New"/>
      <w:color w:val="000000"/>
      <w:kern w:val="0"/>
    </w:rPr>
  </w:style>
  <w:style w:type="paragraph" w:customStyle="1" w:styleId="16">
    <w:name w:val="Level 1"/>
    <w:qFormat/>
    <w:uiPriority w:val="0"/>
    <w:pPr>
      <w:widowControl w:val="0"/>
      <w:ind w:left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17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纯文本 字符"/>
    <w:link w:val="5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2</Lines>
  <Paragraphs>1</Paragraphs>
  <TotalTime>0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2021-02-24T12:46:00Z</dcterms:created>
  <dcterms:modified xsi:type="dcterms:W3CDTF">2025-10-29T03:00:25Z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D726B86CC64F4C6E9FE161512B7675A0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