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bookmarkStart w:id="0" w:name="_Hlk197934466"/>
      <w:r>
        <w:rPr>
          <w:rFonts w:ascii="微软雅黑" w:hAnsi="微软雅黑" w:eastAsia="微软雅黑" w:cs="微软雅黑"/>
          <w:b w:val="0"/>
          <w:sz w:val="30"/>
          <w:szCs w:val="30"/>
          <w:shd w:val="clear" w:color="auto" w:fill="FFFFFF"/>
        </w:rPr>
        <w:t>多功能电刀</w:t>
      </w:r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项目名称：多功能电刀比价项目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7562E1E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E4C5424"/>
    <w:rsid w:val="618F19E3"/>
    <w:rsid w:val="63FF2724"/>
    <w:rsid w:val="647F177A"/>
    <w:rsid w:val="65BE6F26"/>
    <w:rsid w:val="665C3E5E"/>
    <w:rsid w:val="66A17AC3"/>
    <w:rsid w:val="67722DB7"/>
    <w:rsid w:val="67BF28F6"/>
    <w:rsid w:val="67CE2B39"/>
    <w:rsid w:val="686F60CA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952</Characters>
  <Lines>0</Lines>
  <Paragraphs>0</Paragraphs>
  <TotalTime>0</TotalTime>
  <ScaleCrop>false</ScaleCrop>
  <LinksUpToDate>false</LinksUpToDate>
  <CharactersWithSpaces>1030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2025-05-16T02:26:48Z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